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51F7" w14:textId="7458A0D6" w:rsidR="00571E2B" w:rsidRDefault="00974388" w:rsidP="00974388">
      <w:pPr>
        <w:ind w:left="708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46BF0FAD" wp14:editId="6F1C0C24">
            <wp:extent cx="708025" cy="718348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1" cy="7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8A0614C" wp14:editId="34D79894">
            <wp:extent cx="1917700" cy="75051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8" cy="7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0D79" w14:textId="4BF5BA91" w:rsidR="00974388" w:rsidRDefault="00974388" w:rsidP="00571E2B">
      <w:pPr>
        <w:rPr>
          <w:i/>
          <w:sz w:val="20"/>
          <w:szCs w:val="20"/>
        </w:rPr>
      </w:pPr>
    </w:p>
    <w:p w14:paraId="2D031DD3" w14:textId="6B9BF6A0" w:rsidR="00974388" w:rsidRDefault="00974388" w:rsidP="00571E2B">
      <w:pPr>
        <w:rPr>
          <w:i/>
          <w:sz w:val="20"/>
          <w:szCs w:val="20"/>
        </w:rPr>
      </w:pPr>
    </w:p>
    <w:p w14:paraId="59514332" w14:textId="1D8BC4BC" w:rsidR="00974388" w:rsidRDefault="00974388" w:rsidP="00571E2B">
      <w:pPr>
        <w:rPr>
          <w:i/>
          <w:sz w:val="20"/>
          <w:szCs w:val="20"/>
        </w:rPr>
      </w:pPr>
    </w:p>
    <w:tbl>
      <w:tblPr>
        <w:tblStyle w:val="Grilledutableau"/>
        <w:tblW w:w="9923" w:type="dxa"/>
        <w:tblInd w:w="-14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7C006E" w14:paraId="0F6EE5CC" w14:textId="77777777" w:rsidTr="00350FA6">
        <w:trPr>
          <w:trHeight w:val="731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1129E625" w14:textId="4E27B75F" w:rsidR="007C006E" w:rsidRDefault="007C006E" w:rsidP="006D1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Accompagner les professionnels de la petite enfance dans les politiques d’inclusion</w:t>
            </w:r>
          </w:p>
        </w:tc>
      </w:tr>
      <w:tr w:rsidR="008A657A" w14:paraId="36454846" w14:textId="77777777" w:rsidTr="003245AC">
        <w:trPr>
          <w:trHeight w:val="159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2B8F138" w14:textId="77777777" w:rsidR="00974388" w:rsidRPr="006B6C2C" w:rsidRDefault="00974388" w:rsidP="006D1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Objectifs du séminaire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9A1C0F8" w14:textId="77777777" w:rsidR="008D6A9B" w:rsidRPr="008D6A9B" w:rsidRDefault="008D6A9B" w:rsidP="008D6A9B">
            <w:pPr>
              <w:ind w:right="460"/>
              <w:jc w:val="both"/>
              <w:rPr>
                <w:sz w:val="20"/>
              </w:rPr>
            </w:pPr>
          </w:p>
          <w:p w14:paraId="7C0E062D" w14:textId="77777777" w:rsidR="00004B5B" w:rsidRDefault="00024C2C" w:rsidP="00004B5B">
            <w:pPr>
              <w:pStyle w:val="Paragraphedeliste"/>
              <w:numPr>
                <w:ilvl w:val="0"/>
                <w:numId w:val="10"/>
              </w:numPr>
              <w:ind w:left="462" w:right="176" w:hanging="283"/>
              <w:jc w:val="both"/>
              <w:rPr>
                <w:sz w:val="20"/>
              </w:rPr>
            </w:pPr>
            <w:r w:rsidRPr="00745578">
              <w:rPr>
                <w:sz w:val="20"/>
              </w:rPr>
              <w:t xml:space="preserve">Valoriser le rôle des professionnels de la petite enfance dans l’accompagnement précoce </w:t>
            </w:r>
            <w:r w:rsidR="00745578" w:rsidRPr="00745578">
              <w:rPr>
                <w:sz w:val="20"/>
              </w:rPr>
              <w:t>et accompagner l’utilisation du livret de repérage précoce</w:t>
            </w:r>
          </w:p>
          <w:p w14:paraId="0B0AD65E" w14:textId="0F5CF41F" w:rsidR="00746405" w:rsidRPr="00004B5B" w:rsidRDefault="00024C2C" w:rsidP="00004B5B">
            <w:pPr>
              <w:pStyle w:val="Paragraphedeliste"/>
              <w:numPr>
                <w:ilvl w:val="0"/>
                <w:numId w:val="10"/>
              </w:numPr>
              <w:ind w:left="462" w:right="176" w:hanging="283"/>
              <w:jc w:val="both"/>
              <w:rPr>
                <w:sz w:val="20"/>
              </w:rPr>
            </w:pPr>
            <w:r w:rsidRPr="00004B5B">
              <w:rPr>
                <w:sz w:val="20"/>
              </w:rPr>
              <w:t xml:space="preserve">Eclairer </w:t>
            </w:r>
            <w:r w:rsidR="00746405" w:rsidRPr="00004B5B">
              <w:rPr>
                <w:sz w:val="20"/>
              </w:rPr>
              <w:t>l</w:t>
            </w:r>
            <w:r w:rsidR="000843FF" w:rsidRPr="00004B5B">
              <w:rPr>
                <w:sz w:val="20"/>
              </w:rPr>
              <w:t>a</w:t>
            </w:r>
            <w:r w:rsidR="00746405" w:rsidRPr="00004B5B">
              <w:rPr>
                <w:sz w:val="20"/>
              </w:rPr>
              <w:t xml:space="preserve"> place </w:t>
            </w:r>
            <w:r w:rsidR="000843FF" w:rsidRPr="00004B5B">
              <w:rPr>
                <w:sz w:val="20"/>
              </w:rPr>
              <w:t xml:space="preserve">des acteurs de la petite enfance </w:t>
            </w:r>
            <w:r w:rsidR="00746405" w:rsidRPr="00004B5B">
              <w:rPr>
                <w:sz w:val="20"/>
              </w:rPr>
              <w:t xml:space="preserve">dans </w:t>
            </w:r>
            <w:r w:rsidRPr="00004B5B">
              <w:rPr>
                <w:sz w:val="20"/>
              </w:rPr>
              <w:t xml:space="preserve">les dynamiques inclusives et </w:t>
            </w:r>
            <w:r w:rsidR="000843FF" w:rsidRPr="00004B5B">
              <w:rPr>
                <w:sz w:val="20"/>
              </w:rPr>
              <w:t xml:space="preserve">les enjeux de la </w:t>
            </w:r>
            <w:r w:rsidRPr="00004B5B">
              <w:rPr>
                <w:sz w:val="20"/>
              </w:rPr>
              <w:t>gouvernance territoriale</w:t>
            </w:r>
          </w:p>
          <w:p w14:paraId="5D8E46F7" w14:textId="510137B2" w:rsidR="00974388" w:rsidRPr="003245AC" w:rsidRDefault="00974388" w:rsidP="00745578">
            <w:pPr>
              <w:pStyle w:val="Paragraphedeliste"/>
              <w:ind w:right="460"/>
              <w:jc w:val="both"/>
              <w:rPr>
                <w:sz w:val="20"/>
              </w:rPr>
            </w:pPr>
          </w:p>
        </w:tc>
      </w:tr>
      <w:tr w:rsidR="00746405" w14:paraId="487FD927" w14:textId="77777777" w:rsidTr="008E1E37">
        <w:trPr>
          <w:trHeight w:val="70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3700E1F" w14:textId="0F3BD8ED" w:rsidR="00746405" w:rsidRDefault="00746405" w:rsidP="00746405">
            <w:pPr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B9AAD2A" w14:textId="53126AFC" w:rsidR="0063646B" w:rsidRDefault="0063646B" w:rsidP="00745578">
            <w:pPr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Les apports du séminaire viendront éclairer</w:t>
            </w:r>
            <w:r w:rsidR="00E520A6">
              <w:rPr>
                <w:sz w:val="20"/>
              </w:rPr>
              <w:t xml:space="preserve"> en particulier deux dimensions </w:t>
            </w:r>
            <w:r w:rsidRPr="00746405">
              <w:rPr>
                <w:sz w:val="20"/>
              </w:rPr>
              <w:t>:</w:t>
            </w:r>
          </w:p>
          <w:p w14:paraId="049F2EAD" w14:textId="77777777" w:rsidR="00745578" w:rsidRDefault="00745578" w:rsidP="00745578">
            <w:pPr>
              <w:ind w:right="35"/>
              <w:jc w:val="both"/>
              <w:rPr>
                <w:sz w:val="20"/>
              </w:rPr>
            </w:pPr>
          </w:p>
          <w:p w14:paraId="6D2D40F8" w14:textId="6071F2FD" w:rsidR="008D6A9B" w:rsidRPr="008D6A9B" w:rsidRDefault="008D6A9B" w:rsidP="00745578">
            <w:pPr>
              <w:pStyle w:val="Paragraphedeliste"/>
              <w:numPr>
                <w:ilvl w:val="0"/>
                <w:numId w:val="14"/>
              </w:numPr>
              <w:ind w:left="321" w:right="35" w:hanging="284"/>
              <w:jc w:val="both"/>
              <w:rPr>
                <w:b/>
                <w:bCs/>
                <w:i/>
                <w:iCs/>
                <w:sz w:val="20"/>
              </w:rPr>
            </w:pPr>
            <w:r w:rsidRPr="008D6A9B">
              <w:rPr>
                <w:b/>
                <w:bCs/>
                <w:i/>
                <w:iCs/>
                <w:sz w:val="20"/>
              </w:rPr>
              <w:t>Comment mieux appréhender l</w:t>
            </w:r>
            <w:r w:rsidR="00745578">
              <w:rPr>
                <w:b/>
                <w:bCs/>
                <w:i/>
                <w:iCs/>
                <w:sz w:val="20"/>
              </w:rPr>
              <w:t xml:space="preserve">es récentes </w:t>
            </w:r>
            <w:r w:rsidRPr="008D6A9B">
              <w:rPr>
                <w:b/>
                <w:bCs/>
                <w:i/>
                <w:iCs/>
                <w:sz w:val="20"/>
              </w:rPr>
              <w:t>connaissances</w:t>
            </w:r>
            <w:r w:rsidR="00745578">
              <w:rPr>
                <w:b/>
                <w:bCs/>
                <w:i/>
                <w:iCs/>
                <w:sz w:val="20"/>
              </w:rPr>
              <w:t xml:space="preserve"> </w:t>
            </w:r>
            <w:r w:rsidRPr="008D6A9B">
              <w:rPr>
                <w:b/>
                <w:bCs/>
                <w:i/>
                <w:iCs/>
                <w:sz w:val="20"/>
              </w:rPr>
              <w:t>et</w:t>
            </w:r>
            <w:r w:rsidR="00745578">
              <w:rPr>
                <w:b/>
                <w:bCs/>
                <w:i/>
                <w:iCs/>
                <w:sz w:val="20"/>
              </w:rPr>
              <w:t xml:space="preserve"> </w:t>
            </w:r>
            <w:r w:rsidRPr="008D6A9B">
              <w:rPr>
                <w:b/>
                <w:bCs/>
                <w:i/>
                <w:iCs/>
                <w:sz w:val="20"/>
              </w:rPr>
              <w:t>recommandations scientifiques en matière de détection précoce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="00745578">
              <w:rPr>
                <w:b/>
                <w:bCs/>
                <w:i/>
                <w:iCs/>
                <w:sz w:val="20"/>
              </w:rPr>
              <w:t xml:space="preserve">pour être </w:t>
            </w:r>
            <w:r>
              <w:rPr>
                <w:b/>
                <w:bCs/>
                <w:i/>
                <w:iCs/>
                <w:sz w:val="20"/>
              </w:rPr>
              <w:t xml:space="preserve">utile au </w:t>
            </w:r>
            <w:r w:rsidR="00745578">
              <w:rPr>
                <w:b/>
                <w:bCs/>
                <w:i/>
                <w:iCs/>
                <w:sz w:val="20"/>
              </w:rPr>
              <w:t>développement</w:t>
            </w:r>
            <w:r>
              <w:rPr>
                <w:b/>
                <w:bCs/>
                <w:i/>
                <w:iCs/>
                <w:sz w:val="20"/>
              </w:rPr>
              <w:t xml:space="preserve"> de l’enfant</w:t>
            </w:r>
            <w:r w:rsidRPr="008D6A9B">
              <w:rPr>
                <w:b/>
                <w:bCs/>
                <w:i/>
                <w:iCs/>
                <w:sz w:val="20"/>
              </w:rPr>
              <w:t xml:space="preserve"> ? </w:t>
            </w:r>
          </w:p>
          <w:p w14:paraId="3047A2E1" w14:textId="3BBCA7D8" w:rsidR="00746405" w:rsidRDefault="004E4796" w:rsidP="00745578">
            <w:pPr>
              <w:pStyle w:val="Paragraphedeliste"/>
              <w:ind w:left="321" w:right="35"/>
              <w:jc w:val="both"/>
              <w:rPr>
                <w:sz w:val="20"/>
              </w:rPr>
            </w:pPr>
            <w:r>
              <w:rPr>
                <w:sz w:val="20"/>
              </w:rPr>
              <w:t>Les pr</w:t>
            </w:r>
            <w:r w:rsidR="0063646B" w:rsidRPr="008D6A9B">
              <w:rPr>
                <w:sz w:val="20"/>
              </w:rPr>
              <w:t>ofessionnels de la petite enfance</w:t>
            </w:r>
            <w:r>
              <w:rPr>
                <w:sz w:val="20"/>
              </w:rPr>
              <w:t xml:space="preserve">, qu’ils exercent au sein d’une structure, </w:t>
            </w:r>
            <w:r w:rsidR="0063646B" w:rsidRPr="008D6A9B">
              <w:rPr>
                <w:sz w:val="20"/>
              </w:rPr>
              <w:t>à leur domicile ou au domicile des parents</w:t>
            </w:r>
            <w:r>
              <w:rPr>
                <w:sz w:val="20"/>
              </w:rPr>
              <w:t xml:space="preserve">, sont en première ligne en matière de repérage. Aux côtés des parents, ils accompagnent le développement de l’enfant et ont </w:t>
            </w:r>
            <w:r w:rsidR="008D6A9B">
              <w:rPr>
                <w:sz w:val="20"/>
              </w:rPr>
              <w:t xml:space="preserve">une vision d’ensemble </w:t>
            </w:r>
            <w:r>
              <w:rPr>
                <w:sz w:val="20"/>
              </w:rPr>
              <w:t>sur son</w:t>
            </w:r>
            <w:r w:rsidR="008D6A9B">
              <w:rPr>
                <w:sz w:val="20"/>
              </w:rPr>
              <w:t xml:space="preserve"> accompagnement</w:t>
            </w:r>
            <w:r>
              <w:rPr>
                <w:sz w:val="20"/>
              </w:rPr>
              <w:t xml:space="preserve">. Leur observation a toute son </w:t>
            </w:r>
            <w:r w:rsidR="008D6A9B">
              <w:rPr>
                <w:sz w:val="20"/>
              </w:rPr>
              <w:t>utilité dans l’observation de premier niveau qu’elles contribuent à enrichir avec les parents pour faciliter ensuite l’action des acteurs de second niveau en relai.</w:t>
            </w:r>
            <w:r w:rsidR="000843FF" w:rsidRPr="008D6A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Cette première table-ronde permettra de valoriser les avancées en matière de repérage précoce et de valoriser l’action des professionnels de la petite enfance auprès des parents et </w:t>
            </w:r>
            <w:r w:rsidR="003F7403">
              <w:rPr>
                <w:sz w:val="20"/>
              </w:rPr>
              <w:t xml:space="preserve">en lien avec </w:t>
            </w:r>
            <w:r>
              <w:rPr>
                <w:sz w:val="20"/>
              </w:rPr>
              <w:t xml:space="preserve">l’ensemble des acteurs. </w:t>
            </w:r>
          </w:p>
          <w:p w14:paraId="2FD5A86D" w14:textId="77777777" w:rsidR="00745578" w:rsidRPr="00745578" w:rsidRDefault="00745578" w:rsidP="00745578">
            <w:pPr>
              <w:ind w:right="35"/>
              <w:jc w:val="both"/>
              <w:rPr>
                <w:sz w:val="20"/>
              </w:rPr>
            </w:pPr>
          </w:p>
          <w:p w14:paraId="4186DB20" w14:textId="173C7AB6" w:rsidR="00E520A6" w:rsidRPr="00E520A6" w:rsidRDefault="008D6A9B" w:rsidP="00745578">
            <w:pPr>
              <w:pStyle w:val="Paragraphedeliste"/>
              <w:numPr>
                <w:ilvl w:val="0"/>
                <w:numId w:val="14"/>
              </w:numPr>
              <w:ind w:left="321" w:right="35" w:hanging="284"/>
              <w:jc w:val="both"/>
              <w:rPr>
                <w:b/>
                <w:bCs/>
                <w:i/>
                <w:iCs/>
                <w:sz w:val="20"/>
              </w:rPr>
            </w:pPr>
            <w:r w:rsidRPr="00E520A6">
              <w:rPr>
                <w:b/>
                <w:bCs/>
                <w:i/>
                <w:iCs/>
                <w:sz w:val="20"/>
              </w:rPr>
              <w:t>Dans quelles conditions les dynamiques d’inclusion se structurent</w:t>
            </w:r>
            <w:r w:rsidR="00745578">
              <w:rPr>
                <w:b/>
                <w:bCs/>
                <w:i/>
                <w:iCs/>
                <w:sz w:val="20"/>
              </w:rPr>
              <w:t>-elles</w:t>
            </w:r>
            <w:r w:rsidRPr="00E520A6">
              <w:rPr>
                <w:b/>
                <w:bCs/>
                <w:i/>
                <w:iCs/>
                <w:sz w:val="20"/>
              </w:rPr>
              <w:t xml:space="preserve"> aujourd’hui </w:t>
            </w:r>
            <w:r w:rsidR="00745578">
              <w:rPr>
                <w:b/>
                <w:bCs/>
                <w:i/>
                <w:iCs/>
                <w:sz w:val="20"/>
              </w:rPr>
              <w:t xml:space="preserve">sur le territoire </w:t>
            </w:r>
            <w:r w:rsidRPr="00E520A6">
              <w:rPr>
                <w:b/>
                <w:bCs/>
                <w:i/>
                <w:iCs/>
                <w:sz w:val="20"/>
              </w:rPr>
              <w:t xml:space="preserve">pour </w:t>
            </w:r>
            <w:r w:rsidR="00745578">
              <w:rPr>
                <w:b/>
                <w:bCs/>
                <w:i/>
                <w:iCs/>
                <w:sz w:val="20"/>
              </w:rPr>
              <w:t xml:space="preserve">soutenir les acteurs locaux et les aider les acteurs à intervenir en </w:t>
            </w:r>
            <w:r w:rsidR="00E520A6">
              <w:rPr>
                <w:b/>
                <w:bCs/>
                <w:i/>
                <w:iCs/>
                <w:sz w:val="20"/>
              </w:rPr>
              <w:t>complémentarité ?</w:t>
            </w:r>
          </w:p>
          <w:p w14:paraId="2AE9AA4D" w14:textId="59A2EC5A" w:rsidR="00746405" w:rsidRDefault="00403EA8" w:rsidP="00745578">
            <w:pPr>
              <w:pStyle w:val="Paragraphedeliste"/>
              <w:ind w:left="321" w:right="35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 w:rsidR="00746405" w:rsidRPr="00403EA8">
              <w:rPr>
                <w:sz w:val="20"/>
              </w:rPr>
              <w:t xml:space="preserve"> </w:t>
            </w:r>
            <w:r>
              <w:rPr>
                <w:sz w:val="20"/>
              </w:rPr>
              <w:t>dynamiques</w:t>
            </w:r>
            <w:r w:rsidR="00E520A6">
              <w:rPr>
                <w:sz w:val="20"/>
              </w:rPr>
              <w:t xml:space="preserve"> i</w:t>
            </w:r>
            <w:r>
              <w:rPr>
                <w:sz w:val="20"/>
              </w:rPr>
              <w:t>nclusives</w:t>
            </w:r>
            <w:r w:rsidR="00E520A6">
              <w:rPr>
                <w:sz w:val="20"/>
              </w:rPr>
              <w:t xml:space="preserve"> reposent sur un collectif d’acteurs, et en premier lieu les parents. Ces acteurs se mobilisent dans une approche que l’on nomme aujourd’hui « </w:t>
            </w:r>
            <w:r w:rsidR="00746405" w:rsidRPr="00E520A6">
              <w:rPr>
                <w:sz w:val="20"/>
              </w:rPr>
              <w:t>communauté 360</w:t>
            </w:r>
            <w:r w:rsidR="00E520A6">
              <w:rPr>
                <w:sz w:val="20"/>
              </w:rPr>
              <w:t xml:space="preserve"> ». </w:t>
            </w:r>
            <w:r w:rsidR="007C006E">
              <w:rPr>
                <w:sz w:val="20"/>
              </w:rPr>
              <w:t xml:space="preserve">Quels sont les </w:t>
            </w:r>
            <w:r w:rsidR="00E520A6">
              <w:rPr>
                <w:sz w:val="20"/>
              </w:rPr>
              <w:t>complémentarités qui s’opèrent dans une gouvernance territorialisé</w:t>
            </w:r>
            <w:r w:rsidR="008E1E37">
              <w:rPr>
                <w:sz w:val="20"/>
              </w:rPr>
              <w:t>e</w:t>
            </w:r>
            <w:r w:rsidR="00E520A6">
              <w:rPr>
                <w:sz w:val="20"/>
              </w:rPr>
              <w:t xml:space="preserve"> et partagé</w:t>
            </w:r>
            <w:r w:rsidR="008E1E37">
              <w:rPr>
                <w:sz w:val="20"/>
              </w:rPr>
              <w:t>e</w:t>
            </w:r>
            <w:r w:rsidR="00E520A6">
              <w:rPr>
                <w:sz w:val="20"/>
              </w:rPr>
              <w:t xml:space="preserve"> entre l’Etat, l’Ars, le Conseil départemental et la Caf</w:t>
            </w:r>
            <w:r w:rsidR="008E1E37">
              <w:rPr>
                <w:sz w:val="20"/>
              </w:rPr>
              <w:t>, les collectivités locales. A titre d’illustration, les intervenants de la seconde table-ronde valoriseront les articulations entre les « référents parcours », désignés par les Ars et les « pôles ressources handicap » qui viennent appuyer les parents et les professionnels pour lever les freins à l’accueil de droit commun.</w:t>
            </w:r>
          </w:p>
          <w:p w14:paraId="5CDA9480" w14:textId="69CE5041" w:rsidR="00745578" w:rsidRPr="008E1E37" w:rsidRDefault="00745578" w:rsidP="00745578">
            <w:pPr>
              <w:pStyle w:val="Paragraphedeliste"/>
              <w:ind w:left="321" w:right="35"/>
              <w:jc w:val="both"/>
              <w:rPr>
                <w:sz w:val="20"/>
              </w:rPr>
            </w:pPr>
          </w:p>
        </w:tc>
      </w:tr>
      <w:tr w:rsidR="007C006E" w14:paraId="7CC1729F" w14:textId="77777777" w:rsidTr="007C006E">
        <w:trPr>
          <w:trHeight w:val="19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741EF65" w14:textId="77777777" w:rsidR="007C006E" w:rsidRDefault="007C006E" w:rsidP="007C00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Ouverture et propos liminaires </w:t>
            </w:r>
          </w:p>
          <w:p w14:paraId="7789D8D2" w14:textId="77777777" w:rsidR="007C006E" w:rsidRPr="00F072B2" w:rsidRDefault="007C006E" w:rsidP="007C006E">
            <w:pPr>
              <w:rPr>
                <w:bCs/>
                <w:sz w:val="16"/>
                <w:szCs w:val="16"/>
              </w:rPr>
            </w:pPr>
          </w:p>
          <w:p w14:paraId="7E4FD60A" w14:textId="77777777" w:rsidR="007C006E" w:rsidRDefault="007C006E" w:rsidP="007C00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Enjeux </w:t>
            </w:r>
          </w:p>
          <w:p w14:paraId="3C1A6680" w14:textId="77777777" w:rsidR="007C006E" w:rsidRDefault="007C006E" w:rsidP="00746405">
            <w:pPr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CB4741F" w14:textId="77777777" w:rsidR="007C006E" w:rsidRPr="005F3A54" w:rsidRDefault="007C006E" w:rsidP="007C006E">
            <w:pPr>
              <w:pStyle w:val="Paragraphedeliste"/>
              <w:numPr>
                <w:ilvl w:val="0"/>
                <w:numId w:val="14"/>
              </w:numPr>
              <w:spacing w:after="240"/>
              <w:ind w:left="179" w:hanging="179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Isabelle SANCERNI</w:t>
            </w:r>
          </w:p>
          <w:p w14:paraId="01D774F3" w14:textId="77777777" w:rsidR="007C006E" w:rsidRDefault="007C006E" w:rsidP="007C006E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4E20">
              <w:rPr>
                <w:color w:val="000000"/>
                <w:sz w:val="16"/>
                <w:szCs w:val="16"/>
              </w:rPr>
              <w:t>Présidente du conseil d’administration de la CNAF</w:t>
            </w:r>
          </w:p>
          <w:p w14:paraId="41AE3DC8" w14:textId="77777777" w:rsidR="007C006E" w:rsidRDefault="007C006E" w:rsidP="007C006E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48501A4" w14:textId="77777777" w:rsidR="007C006E" w:rsidRDefault="007C006E" w:rsidP="007C006E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D9CD536" w14:textId="77777777" w:rsidR="007C006E" w:rsidRDefault="007C006E" w:rsidP="007C006E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4AC29EB" w14:textId="77777777" w:rsidR="007C006E" w:rsidRPr="005F3A54" w:rsidRDefault="007C006E" w:rsidP="007C006E">
            <w:pPr>
              <w:pStyle w:val="Paragraphedeliste"/>
              <w:numPr>
                <w:ilvl w:val="0"/>
                <w:numId w:val="14"/>
              </w:numPr>
              <w:spacing w:after="240"/>
              <w:ind w:left="179" w:hanging="179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Claire COMPAGNON</w:t>
            </w:r>
          </w:p>
          <w:p w14:paraId="6BD10A24" w14:textId="77777777" w:rsidR="007C006E" w:rsidRPr="00B64E20" w:rsidRDefault="007C006E" w:rsidP="007C006E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</w:rPr>
            </w:pPr>
            <w:r w:rsidRPr="00B64E20">
              <w:rPr>
                <w:sz w:val="16"/>
                <w:szCs w:val="16"/>
              </w:rPr>
              <w:t>Déléguée stratégie autisme TND</w:t>
            </w:r>
          </w:p>
          <w:p w14:paraId="5BDB07A7" w14:textId="77777777" w:rsidR="007C006E" w:rsidRPr="005F3A54" w:rsidRDefault="007C006E" w:rsidP="007C006E">
            <w:pPr>
              <w:pStyle w:val="Paragraphedeliste"/>
              <w:spacing w:after="240"/>
              <w:ind w:left="179"/>
              <w:rPr>
                <w:sz w:val="20"/>
                <w:szCs w:val="20"/>
              </w:rPr>
            </w:pPr>
          </w:p>
        </w:tc>
      </w:tr>
      <w:tr w:rsidR="007C006E" w14:paraId="394702B5" w14:textId="77777777" w:rsidTr="00243C1B">
        <w:trPr>
          <w:trHeight w:val="28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AC1DCC" w14:textId="77777777" w:rsidR="007C006E" w:rsidRDefault="007C006E" w:rsidP="00CE7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2F90E8C6" w14:textId="008A0345" w:rsidR="007C006E" w:rsidRDefault="007C006E" w:rsidP="00CE7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C4219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table-ronde </w:t>
            </w:r>
          </w:p>
          <w:p w14:paraId="1128AAA9" w14:textId="6027CB44" w:rsidR="007C006E" w:rsidRDefault="007C006E" w:rsidP="00CE725D">
            <w:pPr>
              <w:rPr>
                <w:b/>
                <w:sz w:val="20"/>
              </w:rPr>
            </w:pPr>
          </w:p>
          <w:p w14:paraId="71ADE08B" w14:textId="77777777" w:rsidR="007C006E" w:rsidRDefault="007C006E" w:rsidP="00CE725D">
            <w:pPr>
              <w:rPr>
                <w:b/>
                <w:sz w:val="20"/>
              </w:rPr>
            </w:pPr>
          </w:p>
          <w:p w14:paraId="39396685" w14:textId="77777777" w:rsidR="007C006E" w:rsidRDefault="007C006E" w:rsidP="00AB5439">
            <w:pPr>
              <w:pStyle w:val="Paragraphedeliste"/>
              <w:ind w:left="321" w:right="35"/>
              <w:rPr>
                <w:b/>
                <w:bCs/>
                <w:i/>
                <w:iCs/>
                <w:sz w:val="20"/>
              </w:rPr>
            </w:pPr>
            <w:r w:rsidRPr="008D6A9B">
              <w:rPr>
                <w:b/>
                <w:bCs/>
                <w:i/>
                <w:iCs/>
                <w:sz w:val="20"/>
              </w:rPr>
              <w:t>Comment mieux appréhender l</w:t>
            </w:r>
            <w:r>
              <w:rPr>
                <w:b/>
                <w:bCs/>
                <w:i/>
                <w:iCs/>
                <w:sz w:val="20"/>
              </w:rPr>
              <w:t xml:space="preserve">es récentes </w:t>
            </w:r>
            <w:r w:rsidRPr="008D6A9B">
              <w:rPr>
                <w:b/>
                <w:bCs/>
                <w:i/>
                <w:iCs/>
                <w:sz w:val="20"/>
              </w:rPr>
              <w:t>connaissances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8D6A9B">
              <w:rPr>
                <w:b/>
                <w:bCs/>
                <w:i/>
                <w:iCs/>
                <w:sz w:val="20"/>
              </w:rPr>
              <w:t>et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8D6A9B">
              <w:rPr>
                <w:b/>
                <w:bCs/>
                <w:i/>
                <w:iCs/>
                <w:sz w:val="20"/>
              </w:rPr>
              <w:t>recommandations scientifiques en matière de détection précoce</w:t>
            </w:r>
            <w:r>
              <w:rPr>
                <w:b/>
                <w:bCs/>
                <w:i/>
                <w:iCs/>
                <w:sz w:val="20"/>
              </w:rPr>
              <w:t xml:space="preserve"> pour être utile au développement de l’enfant</w:t>
            </w:r>
            <w:r w:rsidRPr="008D6A9B">
              <w:rPr>
                <w:b/>
                <w:bCs/>
                <w:i/>
                <w:iCs/>
                <w:sz w:val="20"/>
              </w:rPr>
              <w:t> ?</w:t>
            </w:r>
          </w:p>
          <w:p w14:paraId="3B55765A" w14:textId="77777777" w:rsidR="007C006E" w:rsidRDefault="007C006E" w:rsidP="007C006E">
            <w:pPr>
              <w:pStyle w:val="Paragraphedeliste"/>
              <w:ind w:left="321" w:right="35"/>
              <w:rPr>
                <w:b/>
                <w:bCs/>
                <w:i/>
                <w:iCs/>
                <w:sz w:val="20"/>
              </w:rPr>
            </w:pPr>
          </w:p>
          <w:p w14:paraId="34F83421" w14:textId="77777777" w:rsidR="007C006E" w:rsidRPr="007C006E" w:rsidRDefault="007C006E" w:rsidP="007C006E">
            <w:pPr>
              <w:ind w:right="35"/>
              <w:rPr>
                <w:b/>
                <w:bCs/>
                <w:i/>
                <w:iCs/>
                <w:sz w:val="20"/>
              </w:rPr>
            </w:pPr>
          </w:p>
          <w:p w14:paraId="17E9BAA9" w14:textId="30F49BBF" w:rsidR="007C006E" w:rsidRPr="007C006E" w:rsidRDefault="007C006E" w:rsidP="007C006E">
            <w:pPr>
              <w:ind w:right="35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2AE5DE3" w14:textId="04E06520" w:rsidR="007C006E" w:rsidRPr="005F3A54" w:rsidRDefault="007C006E" w:rsidP="007C006E">
            <w:pPr>
              <w:pStyle w:val="Paragraphedeliste"/>
              <w:numPr>
                <w:ilvl w:val="0"/>
                <w:numId w:val="15"/>
              </w:numPr>
              <w:ind w:left="179" w:hanging="179"/>
              <w:contextualSpacing w:val="0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Michel ARCELAIN, D</w:t>
            </w:r>
            <w:r w:rsidR="00AB5439">
              <w:rPr>
                <w:sz w:val="20"/>
                <w:szCs w:val="20"/>
              </w:rPr>
              <w:t>ir</w:t>
            </w:r>
            <w:r w:rsidRPr="005F3A54">
              <w:rPr>
                <w:sz w:val="20"/>
                <w:szCs w:val="20"/>
              </w:rPr>
              <w:t xml:space="preserve">ecteur </w:t>
            </w:r>
          </w:p>
          <w:p w14:paraId="6654A055" w14:textId="77777777" w:rsidR="007C006E" w:rsidRPr="00B64E20" w:rsidRDefault="007C006E" w:rsidP="007C006E">
            <w:pPr>
              <w:shd w:val="clear" w:color="auto" w:fill="FFFFFF"/>
              <w:ind w:left="179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 xml:space="preserve">Plateforme de coordination et d’orientation T.N.D. 93 </w:t>
            </w:r>
          </w:p>
          <w:p w14:paraId="5797D909" w14:textId="77777777" w:rsidR="007C006E" w:rsidRDefault="007C006E" w:rsidP="007C006E">
            <w:pPr>
              <w:shd w:val="clear" w:color="auto" w:fill="FFFFFF"/>
              <w:ind w:left="179"/>
              <w:rPr>
                <w:sz w:val="16"/>
                <w:szCs w:val="16"/>
              </w:rPr>
            </w:pPr>
          </w:p>
          <w:p w14:paraId="776E0748" w14:textId="77777777" w:rsidR="007C006E" w:rsidRDefault="007C006E" w:rsidP="007C006E">
            <w:pPr>
              <w:shd w:val="clear" w:color="auto" w:fill="FFFFFF"/>
              <w:ind w:left="179"/>
              <w:rPr>
                <w:sz w:val="16"/>
                <w:szCs w:val="16"/>
              </w:rPr>
            </w:pPr>
          </w:p>
          <w:p w14:paraId="531A4D44" w14:textId="77777777" w:rsidR="007C006E" w:rsidRDefault="007C006E" w:rsidP="00AB5439">
            <w:pPr>
              <w:pStyle w:val="Paragraphedeliste"/>
              <w:numPr>
                <w:ilvl w:val="0"/>
                <w:numId w:val="14"/>
              </w:numPr>
              <w:ind w:left="179" w:hanging="179"/>
              <w:contextualSpacing w:val="0"/>
            </w:pPr>
            <w:r>
              <w:t xml:space="preserve">Aminata Diouf </w:t>
            </w:r>
          </w:p>
          <w:p w14:paraId="33130A23" w14:textId="77777777" w:rsidR="007C006E" w:rsidRPr="00B64E20" w:rsidRDefault="007C006E" w:rsidP="007C006E">
            <w:pPr>
              <w:pStyle w:val="Paragraphedeliste"/>
              <w:ind w:left="179"/>
              <w:contextualSpacing w:val="0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 xml:space="preserve">Association </w:t>
            </w:r>
            <w:proofErr w:type="spellStart"/>
            <w:r w:rsidRPr="00B64E20">
              <w:rPr>
                <w:sz w:val="16"/>
                <w:szCs w:val="16"/>
              </w:rPr>
              <w:t>Griboulli</w:t>
            </w:r>
            <w:proofErr w:type="spellEnd"/>
          </w:p>
          <w:p w14:paraId="7C78B1C9" w14:textId="77777777" w:rsidR="007C006E" w:rsidRPr="005F3A54" w:rsidRDefault="007C006E" w:rsidP="007C006E">
            <w:pPr>
              <w:shd w:val="clear" w:color="auto" w:fill="FFFFFF"/>
              <w:ind w:left="179"/>
              <w:rPr>
                <w:sz w:val="20"/>
                <w:szCs w:val="20"/>
              </w:rPr>
            </w:pPr>
          </w:p>
          <w:p w14:paraId="3D495A64" w14:textId="77777777" w:rsidR="007C006E" w:rsidRPr="005F3A54" w:rsidRDefault="007C006E" w:rsidP="007C006E">
            <w:pPr>
              <w:pStyle w:val="Paragraphedeliste"/>
              <w:numPr>
                <w:ilvl w:val="0"/>
                <w:numId w:val="15"/>
              </w:numPr>
              <w:ind w:left="179" w:hanging="179"/>
              <w:contextualSpacing w:val="0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Agnes COSSOLINI</w:t>
            </w:r>
          </w:p>
          <w:p w14:paraId="421D773C" w14:textId="77777777" w:rsidR="007C006E" w:rsidRPr="008A657A" w:rsidRDefault="007C006E" w:rsidP="007C006E">
            <w:pPr>
              <w:pStyle w:val="Paragraphedeliste"/>
              <w:ind w:left="179"/>
              <w:contextualSpacing w:val="0"/>
              <w:rPr>
                <w:sz w:val="16"/>
                <w:szCs w:val="16"/>
              </w:rPr>
            </w:pPr>
            <w:r w:rsidRPr="008A657A">
              <w:rPr>
                <w:sz w:val="16"/>
                <w:szCs w:val="16"/>
              </w:rPr>
              <w:t>Déléguée générale</w:t>
            </w:r>
          </w:p>
          <w:p w14:paraId="6DF69031" w14:textId="77777777" w:rsidR="007C006E" w:rsidRDefault="007C006E" w:rsidP="007C006E">
            <w:pPr>
              <w:pStyle w:val="Paragraphedeliste"/>
              <w:ind w:left="179"/>
              <w:contextualSpacing w:val="0"/>
              <w:rPr>
                <w:sz w:val="16"/>
                <w:szCs w:val="16"/>
              </w:rPr>
            </w:pPr>
            <w:r w:rsidRPr="008A657A">
              <w:rPr>
                <w:sz w:val="16"/>
                <w:szCs w:val="16"/>
              </w:rPr>
              <w:t>Association IKIGAÏ</w:t>
            </w:r>
          </w:p>
          <w:p w14:paraId="4203E72B" w14:textId="77777777" w:rsidR="007C006E" w:rsidRDefault="007C006E" w:rsidP="007C006E">
            <w:pPr>
              <w:pStyle w:val="Paragraphedeliste"/>
              <w:ind w:left="179"/>
              <w:contextualSpacing w:val="0"/>
              <w:rPr>
                <w:sz w:val="20"/>
                <w:szCs w:val="20"/>
              </w:rPr>
            </w:pPr>
          </w:p>
          <w:p w14:paraId="5BA21846" w14:textId="77777777" w:rsidR="007C006E" w:rsidRDefault="007C006E" w:rsidP="007C006E">
            <w:pPr>
              <w:pStyle w:val="Paragraphedeliste"/>
              <w:ind w:left="179"/>
              <w:contextualSpacing w:val="0"/>
              <w:rPr>
                <w:sz w:val="20"/>
                <w:szCs w:val="20"/>
              </w:rPr>
            </w:pPr>
          </w:p>
          <w:p w14:paraId="7CAAA348" w14:textId="08034566" w:rsidR="007C006E" w:rsidRPr="007C006E" w:rsidRDefault="007C006E" w:rsidP="007C006E">
            <w:pPr>
              <w:pStyle w:val="Paragraphedeliste"/>
              <w:numPr>
                <w:ilvl w:val="0"/>
                <w:numId w:val="18"/>
              </w:numPr>
              <w:ind w:left="179" w:hanging="179"/>
              <w:contextualSpacing w:val="0"/>
              <w:rPr>
                <w:sz w:val="16"/>
                <w:szCs w:val="16"/>
              </w:rPr>
            </w:pPr>
            <w:r w:rsidRPr="007C006E">
              <w:rPr>
                <w:sz w:val="20"/>
                <w:szCs w:val="20"/>
              </w:rPr>
              <w:t>Mohamed CHETOUANI</w:t>
            </w:r>
            <w:r w:rsidRPr="007C006E">
              <w:rPr>
                <w:sz w:val="20"/>
                <w:szCs w:val="20"/>
              </w:rPr>
              <w:br/>
            </w:r>
            <w:r w:rsidRPr="007C006E">
              <w:rPr>
                <w:sz w:val="16"/>
                <w:szCs w:val="16"/>
              </w:rPr>
              <w:t>Professeur, Sorbonne Université</w:t>
            </w:r>
            <w:r w:rsidRPr="007C006E">
              <w:rPr>
                <w:sz w:val="16"/>
                <w:szCs w:val="16"/>
              </w:rPr>
              <w:br/>
              <w:t xml:space="preserve">Responsable du </w:t>
            </w:r>
            <w:proofErr w:type="spellStart"/>
            <w:r w:rsidRPr="007C006E">
              <w:rPr>
                <w:sz w:val="16"/>
                <w:szCs w:val="16"/>
              </w:rPr>
              <w:t>LiLLaB</w:t>
            </w:r>
            <w:proofErr w:type="spellEnd"/>
          </w:p>
        </w:tc>
      </w:tr>
      <w:tr w:rsidR="007C006E" w14:paraId="317416C5" w14:textId="77777777" w:rsidTr="00243C1B">
        <w:trPr>
          <w:trHeight w:val="28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B2DEF0" w14:textId="77777777" w:rsidR="007C006E" w:rsidRDefault="007C006E" w:rsidP="007C006E">
            <w:pPr>
              <w:rPr>
                <w:b/>
                <w:sz w:val="20"/>
              </w:rPr>
            </w:pPr>
          </w:p>
          <w:p w14:paraId="33A56B7C" w14:textId="6AFFE9A2" w:rsidR="007C006E" w:rsidRDefault="007C006E" w:rsidP="007C00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3141A3">
              <w:rPr>
                <w:b/>
                <w:sz w:val="20"/>
                <w:vertAlign w:val="superscript"/>
              </w:rPr>
              <w:t>ème</w:t>
            </w:r>
            <w:r>
              <w:rPr>
                <w:b/>
                <w:sz w:val="20"/>
              </w:rPr>
              <w:t xml:space="preserve"> table-ronde</w:t>
            </w:r>
          </w:p>
          <w:p w14:paraId="4E9F948F" w14:textId="77777777" w:rsidR="007C006E" w:rsidRDefault="007C006E" w:rsidP="00746405">
            <w:pPr>
              <w:rPr>
                <w:b/>
                <w:sz w:val="20"/>
              </w:rPr>
            </w:pPr>
          </w:p>
          <w:p w14:paraId="5B130EB6" w14:textId="77777777" w:rsidR="007C006E" w:rsidRPr="00E520A6" w:rsidRDefault="007C006E" w:rsidP="00AB5439">
            <w:pPr>
              <w:pStyle w:val="Paragraphedeliste"/>
              <w:ind w:left="321" w:right="35"/>
              <w:rPr>
                <w:b/>
                <w:bCs/>
                <w:i/>
                <w:iCs/>
                <w:sz w:val="20"/>
              </w:rPr>
            </w:pPr>
            <w:r w:rsidRPr="00E520A6">
              <w:rPr>
                <w:b/>
                <w:bCs/>
                <w:i/>
                <w:iCs/>
                <w:sz w:val="20"/>
              </w:rPr>
              <w:t>Dans quelles conditions les dynamiques d’inclusion se structurent</w:t>
            </w:r>
            <w:r>
              <w:rPr>
                <w:b/>
                <w:bCs/>
                <w:i/>
                <w:iCs/>
                <w:sz w:val="20"/>
              </w:rPr>
              <w:t>-elles</w:t>
            </w:r>
            <w:r w:rsidRPr="00E520A6">
              <w:rPr>
                <w:b/>
                <w:bCs/>
                <w:i/>
                <w:iCs/>
                <w:sz w:val="20"/>
              </w:rPr>
              <w:t xml:space="preserve"> aujourd’hui </w:t>
            </w:r>
            <w:r>
              <w:rPr>
                <w:b/>
                <w:bCs/>
                <w:i/>
                <w:iCs/>
                <w:sz w:val="20"/>
              </w:rPr>
              <w:t xml:space="preserve">sur le territoire </w:t>
            </w:r>
            <w:r w:rsidRPr="00E520A6">
              <w:rPr>
                <w:b/>
                <w:bCs/>
                <w:i/>
                <w:iCs/>
                <w:sz w:val="20"/>
              </w:rPr>
              <w:t xml:space="preserve">pour </w:t>
            </w:r>
            <w:r>
              <w:rPr>
                <w:b/>
                <w:bCs/>
                <w:i/>
                <w:iCs/>
                <w:sz w:val="20"/>
              </w:rPr>
              <w:t>soutenir les acteurs locaux et les aider les acteurs à intervenir en complémentarité ?</w:t>
            </w:r>
          </w:p>
          <w:p w14:paraId="40C9724C" w14:textId="1E94D441" w:rsidR="007C006E" w:rsidRDefault="007C006E" w:rsidP="00746405">
            <w:pPr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2BCEE1E" w14:textId="77777777" w:rsidR="007C006E" w:rsidRPr="005F3A54" w:rsidRDefault="007C006E" w:rsidP="007C006E">
            <w:pPr>
              <w:pStyle w:val="Paragraphedeliste"/>
              <w:numPr>
                <w:ilvl w:val="0"/>
                <w:numId w:val="15"/>
              </w:numPr>
              <w:ind w:left="179" w:hanging="179"/>
              <w:contextualSpacing w:val="0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Pierre-Yves BAUDOT</w:t>
            </w:r>
          </w:p>
          <w:p w14:paraId="3507D76E" w14:textId="77777777" w:rsidR="007C006E" w:rsidRPr="00B64E20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>Professeur de sociologie</w:t>
            </w:r>
          </w:p>
          <w:p w14:paraId="08E06B55" w14:textId="77777777" w:rsidR="007C006E" w:rsidRPr="00B64E20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>Co-responsable de la Licence de Sciences Sociales</w:t>
            </w:r>
          </w:p>
          <w:p w14:paraId="24826396" w14:textId="77777777" w:rsidR="007C006E" w:rsidRPr="00B64E20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>Co-responsable de la Préparation aux Concours Administratifs (PCA)</w:t>
            </w:r>
          </w:p>
          <w:p w14:paraId="393344D0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16"/>
                <w:szCs w:val="16"/>
              </w:rPr>
            </w:pPr>
            <w:r w:rsidRPr="00B64E20">
              <w:rPr>
                <w:sz w:val="16"/>
                <w:szCs w:val="16"/>
              </w:rPr>
              <w:t xml:space="preserve">Université Paris-Dauphine/PSL – IRISSO </w:t>
            </w:r>
          </w:p>
          <w:p w14:paraId="7EE3B8CC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1357721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</w:pPr>
          </w:p>
          <w:p w14:paraId="7B27DAC4" w14:textId="77777777" w:rsidR="007C006E" w:rsidRDefault="007C006E" w:rsidP="007C006E">
            <w:pPr>
              <w:pStyle w:val="Paragraphedeliste"/>
              <w:numPr>
                <w:ilvl w:val="0"/>
                <w:numId w:val="14"/>
              </w:numPr>
              <w:snapToGrid w:val="0"/>
              <w:spacing w:before="100" w:beforeAutospacing="1" w:after="100" w:afterAutospacing="1"/>
              <w:ind w:left="179" w:hanging="179"/>
              <w:rPr>
                <w:sz w:val="20"/>
                <w:szCs w:val="20"/>
              </w:rPr>
            </w:pPr>
            <w:r w:rsidRPr="00DA483D">
              <w:rPr>
                <w:sz w:val="20"/>
                <w:szCs w:val="20"/>
              </w:rPr>
              <w:t>Olivier PARAIRE</w:t>
            </w:r>
          </w:p>
          <w:p w14:paraId="430090BB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20"/>
                <w:szCs w:val="20"/>
              </w:rPr>
            </w:pPr>
            <w:r w:rsidRPr="00DA483D">
              <w:rPr>
                <w:sz w:val="20"/>
                <w:szCs w:val="20"/>
              </w:rPr>
              <w:t>Directeur de la Caf du territoire de Belfort</w:t>
            </w:r>
          </w:p>
          <w:p w14:paraId="07BD4129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20"/>
                <w:szCs w:val="20"/>
              </w:rPr>
            </w:pPr>
          </w:p>
          <w:p w14:paraId="0279729A" w14:textId="77777777" w:rsidR="007C006E" w:rsidRDefault="007C006E" w:rsidP="007C006E">
            <w:pPr>
              <w:pStyle w:val="Paragraphedeliste"/>
              <w:snapToGrid w:val="0"/>
              <w:spacing w:before="100" w:beforeAutospacing="1" w:after="100" w:afterAutospacing="1"/>
              <w:ind w:left="179"/>
              <w:rPr>
                <w:sz w:val="20"/>
                <w:szCs w:val="20"/>
              </w:rPr>
            </w:pPr>
          </w:p>
          <w:p w14:paraId="082E33F9" w14:textId="77777777" w:rsidR="007C006E" w:rsidRPr="005F3A54" w:rsidRDefault="007C006E" w:rsidP="007C006E">
            <w:pPr>
              <w:pStyle w:val="Paragraphedeliste"/>
              <w:numPr>
                <w:ilvl w:val="0"/>
                <w:numId w:val="14"/>
              </w:numPr>
              <w:snapToGrid w:val="0"/>
              <w:spacing w:before="100" w:beforeAutospacing="1" w:after="100" w:afterAutospacing="1"/>
              <w:ind w:left="179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 du territoire de Belfort (à préciser)</w:t>
            </w:r>
          </w:p>
          <w:p w14:paraId="0B32A86D" w14:textId="77777777" w:rsidR="007C006E" w:rsidRPr="005F3A54" w:rsidRDefault="007C006E" w:rsidP="007C006E">
            <w:pPr>
              <w:pStyle w:val="Paragraphedeliste"/>
              <w:ind w:left="179"/>
              <w:contextualSpacing w:val="0"/>
              <w:rPr>
                <w:sz w:val="20"/>
                <w:szCs w:val="20"/>
              </w:rPr>
            </w:pPr>
          </w:p>
        </w:tc>
      </w:tr>
      <w:tr w:rsidR="007C006E" w14:paraId="54B7D8F9" w14:textId="77777777" w:rsidTr="00243C1B">
        <w:trPr>
          <w:trHeight w:val="28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49560A" w14:textId="33D30FF4" w:rsidR="007C006E" w:rsidRDefault="007C006E" w:rsidP="00AB5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Conclusion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2CF6D60" w14:textId="77777777" w:rsidR="007C006E" w:rsidRPr="005F3A54" w:rsidRDefault="007C006E" w:rsidP="00AB5439">
            <w:pPr>
              <w:pStyle w:val="Paragraphedeliste"/>
              <w:numPr>
                <w:ilvl w:val="0"/>
                <w:numId w:val="15"/>
              </w:numPr>
              <w:ind w:left="179" w:hanging="179"/>
              <w:rPr>
                <w:sz w:val="20"/>
                <w:szCs w:val="20"/>
              </w:rPr>
            </w:pPr>
            <w:r w:rsidRPr="005F3A54">
              <w:rPr>
                <w:sz w:val="20"/>
                <w:szCs w:val="20"/>
              </w:rPr>
              <w:t>Frédéric MARINACCE</w:t>
            </w:r>
          </w:p>
          <w:p w14:paraId="79769179" w14:textId="0AA3AFE1" w:rsidR="007C006E" w:rsidRPr="00AB5439" w:rsidRDefault="007C006E" w:rsidP="00AB5439">
            <w:pPr>
              <w:ind w:left="179"/>
              <w:rPr>
                <w:sz w:val="20"/>
                <w:szCs w:val="20"/>
              </w:rPr>
            </w:pPr>
            <w:r w:rsidRPr="00AB5439">
              <w:rPr>
                <w:color w:val="000000"/>
                <w:sz w:val="16"/>
                <w:szCs w:val="16"/>
              </w:rPr>
              <w:t>Directeur, DPFAS CNAF</w:t>
            </w:r>
          </w:p>
        </w:tc>
      </w:tr>
      <w:tr w:rsidR="003F7403" w14:paraId="6EC84ACF" w14:textId="77777777" w:rsidTr="00243C1B">
        <w:trPr>
          <w:trHeight w:val="28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DE7713" w14:textId="77777777" w:rsidR="003F7403" w:rsidRDefault="003F7403" w:rsidP="003F74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Public visé</w:t>
            </w:r>
          </w:p>
          <w:p w14:paraId="1D8AE2A8" w14:textId="77777777" w:rsidR="003F7403" w:rsidRDefault="003F7403" w:rsidP="003F7403">
            <w:pPr>
              <w:rPr>
                <w:b/>
                <w:sz w:val="20"/>
              </w:rPr>
            </w:pPr>
          </w:p>
          <w:p w14:paraId="33AE2F7F" w14:textId="77777777" w:rsidR="003F7403" w:rsidRDefault="003F7403" w:rsidP="003F7403">
            <w:pPr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425F6D5" w14:textId="77777777" w:rsidR="003F7403" w:rsidRDefault="003F7403" w:rsidP="003F7403">
            <w:pPr>
              <w:pStyle w:val="Paragraphedeliste"/>
              <w:rPr>
                <w:sz w:val="20"/>
              </w:rPr>
            </w:pPr>
          </w:p>
          <w:p w14:paraId="6F7B453C" w14:textId="77777777" w:rsidR="003F7403" w:rsidRDefault="003F7403" w:rsidP="003F7403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024C2C">
              <w:rPr>
                <w:sz w:val="20"/>
              </w:rPr>
              <w:t>Réseau des Caf</w:t>
            </w:r>
          </w:p>
          <w:p w14:paraId="671BF260" w14:textId="77777777" w:rsidR="003F7403" w:rsidRPr="00B61A59" w:rsidRDefault="003F7403" w:rsidP="003F7403">
            <w:pPr>
              <w:pStyle w:val="Paragraphedeliste"/>
              <w:numPr>
                <w:ilvl w:val="0"/>
                <w:numId w:val="12"/>
              </w:numPr>
            </w:pPr>
            <w:r w:rsidRPr="00B61A59">
              <w:rPr>
                <w:sz w:val="20"/>
              </w:rPr>
              <w:t xml:space="preserve">Fédérations et associations nationales </w:t>
            </w:r>
          </w:p>
          <w:p w14:paraId="362E3626" w14:textId="77777777" w:rsidR="003F7403" w:rsidRPr="00B61A59" w:rsidRDefault="003F7403" w:rsidP="003F7403">
            <w:pPr>
              <w:pStyle w:val="Paragraphedeliste"/>
              <w:rPr>
                <w:sz w:val="16"/>
                <w:szCs w:val="16"/>
              </w:rPr>
            </w:pPr>
            <w:r w:rsidRPr="00B61A59">
              <w:rPr>
                <w:sz w:val="16"/>
                <w:szCs w:val="16"/>
              </w:rPr>
              <w:t>UNA/FESP/CCMSA/Mutualité française/Croix-Rouge/FFEC/AMF/FEHAP/France Urbaine/Léo</w:t>
            </w:r>
            <w:r>
              <w:rPr>
                <w:sz w:val="16"/>
                <w:szCs w:val="16"/>
              </w:rPr>
              <w:t xml:space="preserve"> </w:t>
            </w:r>
            <w:r w:rsidRPr="00B61A59">
              <w:rPr>
                <w:sz w:val="16"/>
                <w:szCs w:val="16"/>
              </w:rPr>
              <w:t>Lagrange/</w:t>
            </w:r>
            <w:proofErr w:type="spellStart"/>
            <w:r w:rsidRPr="00B61A59">
              <w:rPr>
                <w:sz w:val="16"/>
                <w:szCs w:val="16"/>
              </w:rPr>
              <w:t>Uncass</w:t>
            </w:r>
            <w:proofErr w:type="spellEnd"/>
            <w:r w:rsidRPr="00B61A59">
              <w:rPr>
                <w:sz w:val="16"/>
                <w:szCs w:val="16"/>
              </w:rPr>
              <w:t>/</w:t>
            </w:r>
            <w:proofErr w:type="spellStart"/>
            <w:r w:rsidRPr="00B61A59">
              <w:rPr>
                <w:sz w:val="16"/>
                <w:szCs w:val="16"/>
              </w:rPr>
              <w:t>Fepem</w:t>
            </w:r>
            <w:proofErr w:type="spellEnd"/>
            <w:r w:rsidRPr="00B61A59">
              <w:rPr>
                <w:sz w:val="16"/>
                <w:szCs w:val="16"/>
              </w:rPr>
              <w:t>/</w:t>
            </w:r>
            <w:proofErr w:type="spellStart"/>
            <w:r w:rsidRPr="00B61A59">
              <w:rPr>
                <w:sz w:val="16"/>
                <w:szCs w:val="16"/>
              </w:rPr>
              <w:t>Ufnafaam</w:t>
            </w:r>
            <w:proofErr w:type="spellEnd"/>
            <w:r w:rsidRPr="00B61A59">
              <w:rPr>
                <w:sz w:val="16"/>
                <w:szCs w:val="16"/>
              </w:rPr>
              <w:t>/</w:t>
            </w:r>
            <w:proofErr w:type="spellStart"/>
            <w:r w:rsidRPr="00B61A59">
              <w:rPr>
                <w:sz w:val="16"/>
                <w:szCs w:val="16"/>
              </w:rPr>
              <w:t>Anamaaf</w:t>
            </w:r>
            <w:proofErr w:type="spellEnd"/>
            <w:r w:rsidRPr="00B61A59">
              <w:rPr>
                <w:sz w:val="16"/>
                <w:szCs w:val="16"/>
              </w:rPr>
              <w:t>/Urssaf/ACEPP/ADF</w:t>
            </w:r>
            <w:r>
              <w:rPr>
                <w:sz w:val="16"/>
                <w:szCs w:val="16"/>
              </w:rPr>
              <w:t xml:space="preserve">/ </w:t>
            </w:r>
            <w:r w:rsidRPr="00B61A59">
              <w:rPr>
                <w:sz w:val="16"/>
                <w:szCs w:val="16"/>
              </w:rPr>
              <w:t>SNPMI/ACCENT PETITE ENFANCE/</w:t>
            </w:r>
            <w:proofErr w:type="spellStart"/>
            <w:r w:rsidRPr="00B61A59">
              <w:rPr>
                <w:sz w:val="16"/>
                <w:szCs w:val="16"/>
              </w:rPr>
              <w:t>Fedesap</w:t>
            </w:r>
            <w:proofErr w:type="spellEnd"/>
            <w:r w:rsidRPr="00B61A59">
              <w:rPr>
                <w:sz w:val="16"/>
                <w:szCs w:val="16"/>
              </w:rPr>
              <w:t>/Familles rurales/ Fédération des centres sociaux/ ADCF/UNIOPSS</w:t>
            </w:r>
          </w:p>
          <w:p w14:paraId="25E03183" w14:textId="77777777" w:rsidR="003F7403" w:rsidRPr="00024C2C" w:rsidRDefault="003F7403" w:rsidP="003F7403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024C2C">
              <w:rPr>
                <w:sz w:val="20"/>
              </w:rPr>
              <w:t>Professionnels de la petite enfance</w:t>
            </w:r>
          </w:p>
          <w:p w14:paraId="3C60F5F3" w14:textId="77777777" w:rsidR="003F7403" w:rsidRPr="008A657A" w:rsidRDefault="003F7403" w:rsidP="003F7403">
            <w:pPr>
              <w:pStyle w:val="Paragraphedeliste"/>
              <w:spacing w:after="240"/>
              <w:ind w:left="179"/>
              <w:rPr>
                <w:rFonts w:ascii="Calibri" w:hAnsi="Calibri"/>
                <w:color w:val="000000"/>
              </w:rPr>
            </w:pPr>
          </w:p>
        </w:tc>
      </w:tr>
    </w:tbl>
    <w:p w14:paraId="16072589" w14:textId="77777777" w:rsidR="00974388" w:rsidRPr="00571E2B" w:rsidRDefault="00974388" w:rsidP="00571E2B">
      <w:pPr>
        <w:rPr>
          <w:i/>
          <w:sz w:val="20"/>
          <w:szCs w:val="20"/>
        </w:rPr>
      </w:pPr>
    </w:p>
    <w:sectPr w:rsidR="00974388" w:rsidRPr="00571E2B" w:rsidSect="00C650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42D0" w14:textId="77777777" w:rsidR="000121AE" w:rsidRDefault="000121AE" w:rsidP="007A7FD3">
      <w:r>
        <w:separator/>
      </w:r>
    </w:p>
  </w:endnote>
  <w:endnote w:type="continuationSeparator" w:id="0">
    <w:p w14:paraId="56398D25" w14:textId="77777777" w:rsidR="000121AE" w:rsidRDefault="000121AE" w:rsidP="007A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9C09D" w14:textId="77777777" w:rsidR="000121AE" w:rsidRDefault="000121AE" w:rsidP="007A7FD3">
      <w:r>
        <w:separator/>
      </w:r>
    </w:p>
  </w:footnote>
  <w:footnote w:type="continuationSeparator" w:id="0">
    <w:p w14:paraId="0A75413D" w14:textId="77777777" w:rsidR="000121AE" w:rsidRDefault="000121AE" w:rsidP="007A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1A38" w14:textId="3BE38068" w:rsidR="007A7FD3" w:rsidRDefault="007A7FD3">
    <w:pPr>
      <w:pStyle w:val="En-tte"/>
    </w:pPr>
  </w:p>
  <w:p w14:paraId="21C1FADD" w14:textId="35C1D0DE" w:rsidR="00E027A9" w:rsidRDefault="00E027A9">
    <w:pPr>
      <w:pStyle w:val="En-tte"/>
    </w:pPr>
  </w:p>
  <w:tbl>
    <w:tblPr>
      <w:tblW w:w="6324" w:type="pct"/>
      <w:tblInd w:w="-5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489"/>
      <w:gridCol w:w="4985"/>
    </w:tblGrid>
    <w:tr w:rsidR="00E027A9" w:rsidRPr="007C006E" w14:paraId="3CF58CA0" w14:textId="77777777" w:rsidTr="00E027A9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2"/>
            <w:szCs w:val="32"/>
          </w:rPr>
          <w:alias w:val="Titre"/>
          <w:id w:val="-762384439"/>
          <w:placeholder>
            <w:docPart w:val="22833851E6BB4D13B57D153B836BB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489" w:type="dxa"/>
            </w:tcPr>
            <w:p w14:paraId="397A38EA" w14:textId="228C1D34" w:rsidR="00E027A9" w:rsidRDefault="00E027A9" w:rsidP="00E027A9">
              <w:pPr>
                <w:pStyle w:val="En-tte"/>
                <w:tabs>
                  <w:tab w:val="clear" w:pos="4536"/>
                  <w:tab w:val="center" w:pos="5410"/>
                </w:tabs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2"/>
                  <w:szCs w:val="32"/>
                </w:rPr>
                <w:t>WEB</w:t>
              </w:r>
              <w:r w:rsidR="00F77B1A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2"/>
                  <w:szCs w:val="32"/>
                </w:rPr>
                <w:t>CONFERENCE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2"/>
                  <w:szCs w:val="32"/>
                </w:rPr>
                <w:t xml:space="preserve">                                           CNAF -DELEGATION AUTISME et TND</w:t>
              </w:r>
            </w:p>
          </w:tc>
        </w:sdtContent>
      </w:sdt>
      <w:tc>
        <w:tcPr>
          <w:tcW w:w="4985" w:type="dxa"/>
        </w:tcPr>
        <w:p w14:paraId="23C12EAC" w14:textId="03DC935B" w:rsidR="00D97769" w:rsidRPr="007C006E" w:rsidRDefault="00E027A9" w:rsidP="00E027A9">
          <w:pPr>
            <w:pStyle w:val="En-tte"/>
            <w:tabs>
              <w:tab w:val="clear" w:pos="4536"/>
              <w:tab w:val="center" w:pos="4703"/>
            </w:tabs>
            <w:rPr>
              <w:rFonts w:asciiTheme="majorHAnsi" w:eastAsiaTheme="majorEastAsia" w:hAnsiTheme="majorHAnsi" w:cstheme="majorBidi"/>
              <w:b/>
              <w:bCs/>
              <w:color w:val="1F497D" w:themeColor="text2"/>
              <w:sz w:val="28"/>
              <w:szCs w:val="28"/>
            </w:rPr>
          </w:pPr>
          <w:r w:rsidRPr="007C006E">
            <w:rPr>
              <w:rFonts w:asciiTheme="majorHAnsi" w:eastAsiaTheme="majorEastAsia" w:hAnsiTheme="majorHAnsi" w:cstheme="majorBidi"/>
              <w:b/>
              <w:bCs/>
              <w:color w:val="1F497D" w:themeColor="text2"/>
              <w:sz w:val="28"/>
              <w:szCs w:val="28"/>
            </w:rPr>
            <w:t xml:space="preserve"> </w:t>
          </w:r>
          <w:r w:rsidR="007C006E" w:rsidRPr="007C006E">
            <w:rPr>
              <w:rFonts w:asciiTheme="majorHAnsi" w:eastAsiaTheme="majorEastAsia" w:hAnsiTheme="majorHAnsi" w:cstheme="majorBidi"/>
              <w:b/>
              <w:bCs/>
              <w:color w:val="1F497D" w:themeColor="text2"/>
              <w:sz w:val="28"/>
              <w:szCs w:val="28"/>
            </w:rPr>
            <w:t>Jeudi 10 mars 2022 de 10h à 13h</w:t>
          </w:r>
        </w:p>
        <w:p w14:paraId="20E64519" w14:textId="45283B20" w:rsidR="00E027A9" w:rsidRPr="007C006E" w:rsidRDefault="00E027A9" w:rsidP="00E027A9">
          <w:pPr>
            <w:pStyle w:val="En-tte"/>
            <w:tabs>
              <w:tab w:val="clear" w:pos="4536"/>
              <w:tab w:val="center" w:pos="4703"/>
            </w:tabs>
            <w:rPr>
              <w:rFonts w:asciiTheme="majorHAnsi" w:eastAsiaTheme="majorEastAsia" w:hAnsiTheme="majorHAnsi" w:cstheme="majorBidi"/>
              <w:b/>
              <w:bCs/>
              <w:color w:val="1F497D" w:themeColor="text2"/>
              <w:sz w:val="28"/>
              <w:szCs w:val="28"/>
            </w:rPr>
          </w:pPr>
        </w:p>
      </w:tc>
    </w:tr>
  </w:tbl>
  <w:p w14:paraId="5A3835F1" w14:textId="77777777" w:rsidR="00E027A9" w:rsidRDefault="00E027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35B8"/>
    <w:multiLevelType w:val="hybridMultilevel"/>
    <w:tmpl w:val="F606DE2A"/>
    <w:lvl w:ilvl="0" w:tplc="209E9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DCA"/>
    <w:multiLevelType w:val="hybridMultilevel"/>
    <w:tmpl w:val="091CF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7B7"/>
    <w:multiLevelType w:val="hybridMultilevel"/>
    <w:tmpl w:val="52060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0BF"/>
    <w:multiLevelType w:val="hybridMultilevel"/>
    <w:tmpl w:val="3F62003E"/>
    <w:lvl w:ilvl="0" w:tplc="D258FCBC">
      <w:numFmt w:val="bullet"/>
      <w:lvlText w:val="-"/>
      <w:lvlJc w:val="left"/>
      <w:pPr>
        <w:ind w:left="110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246C0C17"/>
    <w:multiLevelType w:val="hybridMultilevel"/>
    <w:tmpl w:val="4DC27F06"/>
    <w:lvl w:ilvl="0" w:tplc="5C709A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6CF"/>
    <w:multiLevelType w:val="hybridMultilevel"/>
    <w:tmpl w:val="CC821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11037"/>
    <w:multiLevelType w:val="hybridMultilevel"/>
    <w:tmpl w:val="5E4A9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86A2B"/>
    <w:multiLevelType w:val="hybridMultilevel"/>
    <w:tmpl w:val="9FB2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A7338"/>
    <w:multiLevelType w:val="hybridMultilevel"/>
    <w:tmpl w:val="F578A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33D3"/>
    <w:multiLevelType w:val="hybridMultilevel"/>
    <w:tmpl w:val="5F26CBA2"/>
    <w:lvl w:ilvl="0" w:tplc="01546B3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442C8"/>
    <w:multiLevelType w:val="hybridMultilevel"/>
    <w:tmpl w:val="7B6A2086"/>
    <w:lvl w:ilvl="0" w:tplc="0F96520E">
      <w:numFmt w:val="bullet"/>
      <w:lvlText w:val="-"/>
      <w:lvlJc w:val="left"/>
      <w:pPr>
        <w:ind w:left="96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" w15:restartNumberingAfterBreak="0">
    <w:nsid w:val="456B507D"/>
    <w:multiLevelType w:val="hybridMultilevel"/>
    <w:tmpl w:val="3FE0D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4D13"/>
    <w:multiLevelType w:val="hybridMultilevel"/>
    <w:tmpl w:val="3B92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21F42"/>
    <w:multiLevelType w:val="hybridMultilevel"/>
    <w:tmpl w:val="9B4C2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7292C"/>
    <w:multiLevelType w:val="hybridMultilevel"/>
    <w:tmpl w:val="77184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33B22"/>
    <w:multiLevelType w:val="hybridMultilevel"/>
    <w:tmpl w:val="9034B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7191"/>
    <w:multiLevelType w:val="hybridMultilevel"/>
    <w:tmpl w:val="23B8B55E"/>
    <w:lvl w:ilvl="0" w:tplc="0B88E080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3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D"/>
    <w:rsid w:val="00004B5B"/>
    <w:rsid w:val="000121AE"/>
    <w:rsid w:val="00021E5A"/>
    <w:rsid w:val="00024C2C"/>
    <w:rsid w:val="00054384"/>
    <w:rsid w:val="0006640C"/>
    <w:rsid w:val="000843FF"/>
    <w:rsid w:val="000F6843"/>
    <w:rsid w:val="00117D58"/>
    <w:rsid w:val="00151635"/>
    <w:rsid w:val="00151DD8"/>
    <w:rsid w:val="0015298F"/>
    <w:rsid w:val="0015411E"/>
    <w:rsid w:val="00180708"/>
    <w:rsid w:val="00192BE9"/>
    <w:rsid w:val="00197C7B"/>
    <w:rsid w:val="002071D9"/>
    <w:rsid w:val="00231799"/>
    <w:rsid w:val="00236ED3"/>
    <w:rsid w:val="00261DBB"/>
    <w:rsid w:val="002856D1"/>
    <w:rsid w:val="003072D0"/>
    <w:rsid w:val="0031162F"/>
    <w:rsid w:val="003141A3"/>
    <w:rsid w:val="003245AC"/>
    <w:rsid w:val="00330E83"/>
    <w:rsid w:val="0038280D"/>
    <w:rsid w:val="0038420D"/>
    <w:rsid w:val="00391C25"/>
    <w:rsid w:val="00392517"/>
    <w:rsid w:val="003B74E4"/>
    <w:rsid w:val="003C60A5"/>
    <w:rsid w:val="003E0082"/>
    <w:rsid w:val="003F5032"/>
    <w:rsid w:val="003F7403"/>
    <w:rsid w:val="00401475"/>
    <w:rsid w:val="00403EA8"/>
    <w:rsid w:val="00443EDC"/>
    <w:rsid w:val="00452450"/>
    <w:rsid w:val="00452BAA"/>
    <w:rsid w:val="004637AA"/>
    <w:rsid w:val="00476B5B"/>
    <w:rsid w:val="00497F28"/>
    <w:rsid w:val="004A4EC4"/>
    <w:rsid w:val="004C03AA"/>
    <w:rsid w:val="004C50C8"/>
    <w:rsid w:val="004E4796"/>
    <w:rsid w:val="004E79F2"/>
    <w:rsid w:val="0050223C"/>
    <w:rsid w:val="00506131"/>
    <w:rsid w:val="00534B67"/>
    <w:rsid w:val="005434D5"/>
    <w:rsid w:val="005454BF"/>
    <w:rsid w:val="00551858"/>
    <w:rsid w:val="00571E2B"/>
    <w:rsid w:val="00576C84"/>
    <w:rsid w:val="005852A9"/>
    <w:rsid w:val="0059405B"/>
    <w:rsid w:val="005F3A54"/>
    <w:rsid w:val="005F666C"/>
    <w:rsid w:val="0060108A"/>
    <w:rsid w:val="00633F62"/>
    <w:rsid w:val="0063646B"/>
    <w:rsid w:val="00670100"/>
    <w:rsid w:val="00676FD3"/>
    <w:rsid w:val="006B09FC"/>
    <w:rsid w:val="006B6C2C"/>
    <w:rsid w:val="006C19F6"/>
    <w:rsid w:val="006C3F56"/>
    <w:rsid w:val="00701D7D"/>
    <w:rsid w:val="007155F6"/>
    <w:rsid w:val="00745578"/>
    <w:rsid w:val="00746405"/>
    <w:rsid w:val="007479BD"/>
    <w:rsid w:val="00760357"/>
    <w:rsid w:val="0076452C"/>
    <w:rsid w:val="00771B2A"/>
    <w:rsid w:val="00782ACD"/>
    <w:rsid w:val="007978EC"/>
    <w:rsid w:val="007A7FD3"/>
    <w:rsid w:val="007C006E"/>
    <w:rsid w:val="007D2F50"/>
    <w:rsid w:val="007E5579"/>
    <w:rsid w:val="007F1051"/>
    <w:rsid w:val="008208AF"/>
    <w:rsid w:val="00825532"/>
    <w:rsid w:val="00826D97"/>
    <w:rsid w:val="00851C36"/>
    <w:rsid w:val="008534ED"/>
    <w:rsid w:val="008A657A"/>
    <w:rsid w:val="008C7898"/>
    <w:rsid w:val="008D6A9B"/>
    <w:rsid w:val="008E1E37"/>
    <w:rsid w:val="008F013B"/>
    <w:rsid w:val="008F3670"/>
    <w:rsid w:val="009073E6"/>
    <w:rsid w:val="00922EB0"/>
    <w:rsid w:val="00945855"/>
    <w:rsid w:val="00961F67"/>
    <w:rsid w:val="00974388"/>
    <w:rsid w:val="009B10C6"/>
    <w:rsid w:val="00A0235C"/>
    <w:rsid w:val="00A027F4"/>
    <w:rsid w:val="00A04DCA"/>
    <w:rsid w:val="00A20D5A"/>
    <w:rsid w:val="00A34895"/>
    <w:rsid w:val="00A50875"/>
    <w:rsid w:val="00AA288F"/>
    <w:rsid w:val="00AA7B68"/>
    <w:rsid w:val="00AB5439"/>
    <w:rsid w:val="00AD4E7A"/>
    <w:rsid w:val="00AF79F3"/>
    <w:rsid w:val="00B032F3"/>
    <w:rsid w:val="00B0733E"/>
    <w:rsid w:val="00B218D2"/>
    <w:rsid w:val="00B429B5"/>
    <w:rsid w:val="00B60792"/>
    <w:rsid w:val="00B61A59"/>
    <w:rsid w:val="00B64E20"/>
    <w:rsid w:val="00B7189C"/>
    <w:rsid w:val="00B753BF"/>
    <w:rsid w:val="00B80656"/>
    <w:rsid w:val="00B92656"/>
    <w:rsid w:val="00BB6AAE"/>
    <w:rsid w:val="00BC6AA0"/>
    <w:rsid w:val="00BD06DB"/>
    <w:rsid w:val="00BD65D5"/>
    <w:rsid w:val="00BF2379"/>
    <w:rsid w:val="00C0365C"/>
    <w:rsid w:val="00C06564"/>
    <w:rsid w:val="00C10097"/>
    <w:rsid w:val="00C4219E"/>
    <w:rsid w:val="00C47E56"/>
    <w:rsid w:val="00C6500A"/>
    <w:rsid w:val="00C72559"/>
    <w:rsid w:val="00C900DB"/>
    <w:rsid w:val="00C96221"/>
    <w:rsid w:val="00CC1B36"/>
    <w:rsid w:val="00CC3E7E"/>
    <w:rsid w:val="00CC5871"/>
    <w:rsid w:val="00CD6BA8"/>
    <w:rsid w:val="00CE725D"/>
    <w:rsid w:val="00CF54BD"/>
    <w:rsid w:val="00D17123"/>
    <w:rsid w:val="00D36B96"/>
    <w:rsid w:val="00D43E93"/>
    <w:rsid w:val="00D97769"/>
    <w:rsid w:val="00DA483D"/>
    <w:rsid w:val="00DA7B09"/>
    <w:rsid w:val="00DC3E32"/>
    <w:rsid w:val="00DF5B66"/>
    <w:rsid w:val="00DF71F7"/>
    <w:rsid w:val="00E027A9"/>
    <w:rsid w:val="00E17EFF"/>
    <w:rsid w:val="00E34980"/>
    <w:rsid w:val="00E37FED"/>
    <w:rsid w:val="00E520A6"/>
    <w:rsid w:val="00E5359D"/>
    <w:rsid w:val="00E6058D"/>
    <w:rsid w:val="00E61704"/>
    <w:rsid w:val="00E83ADF"/>
    <w:rsid w:val="00E97035"/>
    <w:rsid w:val="00EB4DED"/>
    <w:rsid w:val="00F072B2"/>
    <w:rsid w:val="00F136CD"/>
    <w:rsid w:val="00F233A9"/>
    <w:rsid w:val="00F256A9"/>
    <w:rsid w:val="00F60548"/>
    <w:rsid w:val="00F77B1A"/>
    <w:rsid w:val="00F92C70"/>
    <w:rsid w:val="00FB5C17"/>
    <w:rsid w:val="00FC39EA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277FA"/>
  <w15:docId w15:val="{EC1B06C6-C444-4E92-A898-963F6709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ED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7F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FD3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A7F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FD3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F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F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0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833851E6BB4D13B57D153B836BB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00BBE-90A3-4DE4-B9C1-A3576A44DC4D}"/>
      </w:docPartPr>
      <w:docPartBody>
        <w:p w:rsidR="002B13AA" w:rsidRDefault="005857B0" w:rsidP="005857B0">
          <w:pPr>
            <w:pStyle w:val="22833851E6BB4D13B57D153B836BB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147"/>
    <w:rsid w:val="000410F4"/>
    <w:rsid w:val="0008325D"/>
    <w:rsid w:val="001D34C1"/>
    <w:rsid w:val="001F7024"/>
    <w:rsid w:val="002040EB"/>
    <w:rsid w:val="002B13AA"/>
    <w:rsid w:val="002C5B18"/>
    <w:rsid w:val="00334574"/>
    <w:rsid w:val="003B79E9"/>
    <w:rsid w:val="00482BDA"/>
    <w:rsid w:val="005857B0"/>
    <w:rsid w:val="005E68C5"/>
    <w:rsid w:val="006423AC"/>
    <w:rsid w:val="006924E5"/>
    <w:rsid w:val="0073184C"/>
    <w:rsid w:val="00960594"/>
    <w:rsid w:val="009930D8"/>
    <w:rsid w:val="00A05618"/>
    <w:rsid w:val="00A26FB6"/>
    <w:rsid w:val="00AA55EC"/>
    <w:rsid w:val="00B111F9"/>
    <w:rsid w:val="00BE5565"/>
    <w:rsid w:val="00C65E58"/>
    <w:rsid w:val="00CD49B0"/>
    <w:rsid w:val="00D14C5F"/>
    <w:rsid w:val="00D73147"/>
    <w:rsid w:val="00D8673E"/>
    <w:rsid w:val="00E70F54"/>
    <w:rsid w:val="00EA30F8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2833851E6BB4D13B57D153B836BB94E">
    <w:name w:val="22833851E6BB4D13B57D153B836BB94E"/>
    <w:rsid w:val="005857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2D40-0DD8-4A38-8F3F-3E3A044A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WEBCONFERENCE                                           CNAF -DELEGATION AUTISME et TND</vt:lpstr>
    </vt:vector>
  </TitlesOfParts>
  <Company>MINEFI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WEBCONFERENCE                                           CNAF -DELEGATION AUTISME et TND</dc:title>
  <dc:creator>BORONAD Thomas</dc:creator>
  <cp:lastModifiedBy>Dominique DUCROC-ACCAOUI 755</cp:lastModifiedBy>
  <cp:revision>2</cp:revision>
  <cp:lastPrinted>2014-08-08T16:42:00Z</cp:lastPrinted>
  <dcterms:created xsi:type="dcterms:W3CDTF">2022-03-01T19:58:00Z</dcterms:created>
  <dcterms:modified xsi:type="dcterms:W3CDTF">2022-03-01T19:58:00Z</dcterms:modified>
</cp:coreProperties>
</file>